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360" w:lineRule="auto"/>
        <w:ind w:right="0" w:rightChars="0" w:firstLine="551" w:firstLineChars="196"/>
        <w:jc w:val="center"/>
        <w:textAlignment w:val="auto"/>
        <w:outlineLvl w:val="9"/>
        <w:rPr>
          <w:rFonts w:hint="eastAsia" w:ascii="宋体" w:hAnsi="宋体" w:eastAsia="宋体" w:cs="宋体"/>
          <w:b/>
          <w:color w:val="auto"/>
          <w:sz w:val="28"/>
          <w:szCs w:val="28"/>
        </w:rPr>
      </w:pPr>
      <w:bookmarkStart w:id="0" w:name="_Toc210311109"/>
      <w:bookmarkStart w:id="1" w:name="_Toc244312999"/>
      <w:bookmarkStart w:id="2" w:name="_Toc67816382"/>
      <w:bookmarkStart w:id="3" w:name="_Toc103418821"/>
      <w:bookmarkStart w:id="4" w:name="_Toc210534167"/>
      <w:bookmarkStart w:id="5" w:name="_Toc99352017"/>
      <w:bookmarkStart w:id="6" w:name="_Toc3272"/>
      <w:bookmarkStart w:id="7" w:name="_Toc4013"/>
      <w:bookmarkStart w:id="8" w:name="_Toc6397"/>
      <w:bookmarkStart w:id="9" w:name="_Toc76880500"/>
      <w:bookmarkStart w:id="10" w:name="_Toc274136368"/>
      <w:bookmarkStart w:id="11" w:name="_Toc4624"/>
      <w:bookmarkStart w:id="12" w:name="_Toc8890"/>
      <w:bookmarkStart w:id="29" w:name="_GoBack"/>
      <w:bookmarkEnd w:id="29"/>
      <w:r>
        <w:rPr>
          <w:rFonts w:hint="eastAsia" w:ascii="宋体" w:hAnsi="宋体" w:eastAsia="宋体" w:cs="宋体"/>
          <w:b/>
          <w:color w:val="auto"/>
          <w:sz w:val="28"/>
          <w:szCs w:val="28"/>
        </w:rPr>
        <w:t>环境保护措施</w:t>
      </w:r>
      <w:bookmarkEnd w:id="0"/>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kinsoku/>
        <w:wordWrap/>
        <w:overflowPunct/>
        <w:topLinePunct w:val="0"/>
        <w:bidi w:val="0"/>
        <w:adjustRightInd/>
        <w:spacing w:line="360" w:lineRule="auto"/>
        <w:ind w:right="0" w:rightChars="0" w:firstLine="413" w:firstLineChars="147"/>
        <w:textAlignment w:val="auto"/>
        <w:outlineLvl w:val="9"/>
        <w:rPr>
          <w:rFonts w:hint="eastAsia" w:ascii="宋体" w:hAnsi="宋体" w:eastAsia="宋体" w:cs="宋体"/>
          <w:b/>
          <w:color w:val="auto"/>
          <w:sz w:val="28"/>
          <w:szCs w:val="28"/>
        </w:rPr>
      </w:pPr>
      <w:bookmarkStart w:id="13" w:name="_Toc6770"/>
      <w:bookmarkStart w:id="14" w:name="_Toc932"/>
      <w:r>
        <w:rPr>
          <w:rFonts w:hint="eastAsia" w:ascii="宋体" w:hAnsi="宋体" w:eastAsia="宋体" w:cs="宋体"/>
          <w:b/>
          <w:color w:val="auto"/>
          <w:sz w:val="28"/>
          <w:szCs w:val="28"/>
        </w:rPr>
        <w:t>（一）、环境保护措施编制内容</w:t>
      </w:r>
      <w:bookmarkEnd w:id="13"/>
      <w:bookmarkEnd w:id="14"/>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1、制定严格的作业制度，规范施工人员作业行为，做到科学管理、文明施工，避免有害物质或不良行为对环境造成污染或破坏。并在编制总布置设计文件的同时，编制一份施工区和生活区的环境保护措施计划。</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2、严格按施工组织设计要求，合理布置、安排施工的顺序、方法、手段和措施。</w:t>
      </w:r>
    </w:p>
    <w:p>
      <w:pPr>
        <w:keepNext w:val="0"/>
        <w:keepLines w:val="0"/>
        <w:pageBreakBefore w:val="0"/>
        <w:kinsoku/>
        <w:wordWrap/>
        <w:overflowPunct/>
        <w:topLinePunct w:val="0"/>
        <w:bidi w:val="0"/>
        <w:adjustRightInd/>
        <w:spacing w:line="360" w:lineRule="auto"/>
        <w:ind w:right="0" w:righ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3、加强对下列内容进行控制：（不限于）</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（1）施工弃渣的利用和堆放；</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（2）施工场地开挖的边坡保护和水土流失防治；</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（3）防止饮用水污染；</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（4）严格控制噪声、粉尘、废气、废水和废油；</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（5）加强对施工区及生活区的卫生设施及粪便、垃圾等的治理；</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（6）做到工完场清。</w:t>
      </w:r>
    </w:p>
    <w:p>
      <w:pPr>
        <w:keepNext w:val="0"/>
        <w:keepLines w:val="0"/>
        <w:pageBreakBefore w:val="0"/>
        <w:kinsoku/>
        <w:wordWrap/>
        <w:overflowPunct/>
        <w:topLinePunct w:val="0"/>
        <w:bidi w:val="0"/>
        <w:adjustRightInd/>
        <w:spacing w:line="360" w:lineRule="auto"/>
        <w:ind w:right="0" w:rightChars="0" w:firstLine="413" w:firstLineChars="147"/>
        <w:textAlignment w:val="auto"/>
        <w:outlineLvl w:val="9"/>
        <w:rPr>
          <w:rFonts w:hint="eastAsia" w:ascii="宋体" w:hAnsi="宋体" w:eastAsia="宋体" w:cs="宋体"/>
          <w:b/>
          <w:color w:val="auto"/>
          <w:sz w:val="28"/>
          <w:szCs w:val="28"/>
        </w:rPr>
      </w:pPr>
      <w:bookmarkStart w:id="15" w:name="_Toc8880"/>
      <w:bookmarkStart w:id="16" w:name="_Toc28143"/>
      <w:bookmarkStart w:id="17" w:name="_Toc56319078"/>
      <w:r>
        <w:rPr>
          <w:rFonts w:hint="eastAsia" w:ascii="宋体" w:hAnsi="宋体" w:eastAsia="宋体" w:cs="宋体"/>
          <w:b/>
          <w:color w:val="auto"/>
          <w:sz w:val="28"/>
          <w:szCs w:val="28"/>
        </w:rPr>
        <w:t>（二）、施工区环境保护设计</w:t>
      </w:r>
      <w:bookmarkEnd w:id="15"/>
      <w:bookmarkEnd w:id="16"/>
    </w:p>
    <w:p>
      <w:pPr>
        <w:keepNext w:val="0"/>
        <w:keepLines w:val="0"/>
        <w:pageBreakBefore w:val="0"/>
        <w:kinsoku/>
        <w:wordWrap/>
        <w:overflowPunct/>
        <w:topLinePunct w:val="0"/>
        <w:bidi w:val="0"/>
        <w:adjustRightInd/>
        <w:spacing w:line="360" w:lineRule="auto"/>
        <w:ind w:right="0" w:righ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1、食堂污水</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在食堂旁边设置砖砌隔油池1个,伙房及洗碗水池的废水均先排入隔油池进行处理。</w:t>
      </w:r>
    </w:p>
    <w:p>
      <w:pPr>
        <w:keepNext w:val="0"/>
        <w:keepLines w:val="0"/>
        <w:pageBreakBefore w:val="0"/>
        <w:kinsoku/>
        <w:wordWrap/>
        <w:overflowPunct/>
        <w:topLinePunct w:val="0"/>
        <w:bidi w:val="0"/>
        <w:adjustRightInd/>
        <w:spacing w:line="360" w:lineRule="auto"/>
        <w:ind w:right="0" w:righ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2、生活污水</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本段工地处郊区，施工区内设置厕所，粪便污水和生活污水必须经过化粪池处理才能排放。整个生产生活区内的生活污水经污水收集管线一同汇入化粪池，经化粪池沉淀后污水排放。</w:t>
      </w:r>
    </w:p>
    <w:p>
      <w:pPr>
        <w:keepNext w:val="0"/>
        <w:keepLines w:val="0"/>
        <w:pageBreakBefore w:val="0"/>
        <w:kinsoku/>
        <w:wordWrap/>
        <w:overflowPunct/>
        <w:topLinePunct w:val="0"/>
        <w:bidi w:val="0"/>
        <w:adjustRightInd/>
        <w:spacing w:line="360" w:lineRule="auto"/>
        <w:ind w:right="0" w:rightChars="0" w:firstLine="413" w:firstLineChars="147"/>
        <w:textAlignment w:val="auto"/>
        <w:outlineLvl w:val="9"/>
        <w:rPr>
          <w:rFonts w:hint="eastAsia" w:ascii="宋体" w:hAnsi="宋体" w:eastAsia="宋体" w:cs="宋体"/>
          <w:b/>
          <w:color w:val="auto"/>
          <w:sz w:val="28"/>
          <w:szCs w:val="28"/>
        </w:rPr>
      </w:pPr>
      <w:bookmarkStart w:id="18" w:name="_Toc1018"/>
      <w:bookmarkStart w:id="19" w:name="_Toc2798"/>
      <w:r>
        <w:rPr>
          <w:rFonts w:hint="eastAsia" w:ascii="宋体" w:hAnsi="宋体" w:eastAsia="宋体" w:cs="宋体"/>
          <w:b/>
          <w:color w:val="auto"/>
          <w:sz w:val="28"/>
          <w:szCs w:val="28"/>
        </w:rPr>
        <w:t>（三）、水土保持措施</w:t>
      </w:r>
      <w:bookmarkEnd w:id="17"/>
      <w:bookmarkEnd w:id="18"/>
      <w:bookmarkEnd w:id="19"/>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1、修建必要的临时排水设施，并与永久排水设施相连接，避免引起淤积和冲刷，在施工期间始终保持工地和生活区良好的排水状态。</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2、对堆、弃渣场坡脚设置挡渣墙，堆场设置排水系统，并及时进行边坡植被保护，以防止水土流失。</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3、保护绿色植被避免产生新的水土流失源。</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4、防止冲刷和淤积措施</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（1）临时设施周围设置排水沟等有效措施防止施工现场所占用的土地或临时使用的土地受到冲刷。</w:t>
      </w:r>
    </w:p>
    <w:p>
      <w:pPr>
        <w:keepNext w:val="0"/>
        <w:keepLines w:val="0"/>
        <w:pageBreakBefore w:val="0"/>
        <w:kinsoku/>
        <w:wordWrap/>
        <w:overflowPunct/>
        <w:topLinePunct w:val="0"/>
        <w:bidi w:val="0"/>
        <w:adjustRightInd/>
        <w:spacing w:line="360" w:lineRule="auto"/>
        <w:ind w:right="0" w:rightChars="0" w:firstLine="520" w:firstLineChars="200"/>
        <w:textAlignment w:val="auto"/>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rPr>
        <w:t>（2）采取有效措施防止从本工程施工中产生的废弃物对河流或排水系统产生淤积或堵塞。</w:t>
      </w:r>
    </w:p>
    <w:p>
      <w:pPr>
        <w:keepNext w:val="0"/>
        <w:keepLines w:val="0"/>
        <w:pageBreakBefore w:val="0"/>
        <w:kinsoku/>
        <w:wordWrap/>
        <w:overflowPunct/>
        <w:topLinePunct w:val="0"/>
        <w:bidi w:val="0"/>
        <w:adjustRightInd/>
        <w:spacing w:line="360" w:lineRule="auto"/>
        <w:ind w:right="0" w:righ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（3）完善临时排水系统，达到能最大限度减少水土流失的功能。</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5、弃渣场区</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本工程弃渣全部运至指定渣场，为有效防止弃土被洪水冲入下游河道，影响其正常行洪，在往砂石坑中存放弃土时，要对其进行碾压，且弃土高程要低于河道冲刷线。</w:t>
      </w:r>
    </w:p>
    <w:p>
      <w:pPr>
        <w:keepNext w:val="0"/>
        <w:keepLines w:val="0"/>
        <w:pageBreakBefore w:val="0"/>
        <w:kinsoku/>
        <w:wordWrap/>
        <w:overflowPunct/>
        <w:topLinePunct w:val="0"/>
        <w:bidi w:val="0"/>
        <w:adjustRightInd/>
        <w:spacing w:line="360" w:lineRule="auto"/>
        <w:ind w:right="0" w:rightChars="0" w:firstLine="413" w:firstLineChars="147"/>
        <w:textAlignment w:val="auto"/>
        <w:outlineLvl w:val="9"/>
        <w:rPr>
          <w:rFonts w:hint="eastAsia" w:ascii="宋体" w:hAnsi="宋体" w:eastAsia="宋体" w:cs="宋体"/>
          <w:b/>
          <w:color w:val="auto"/>
          <w:sz w:val="28"/>
          <w:szCs w:val="28"/>
        </w:rPr>
      </w:pPr>
      <w:bookmarkStart w:id="20" w:name="_Toc2050"/>
      <w:bookmarkStart w:id="21" w:name="_Toc20798"/>
      <w:bookmarkStart w:id="22" w:name="_Toc56319081"/>
    </w:p>
    <w:p>
      <w:pPr>
        <w:keepNext w:val="0"/>
        <w:keepLines w:val="0"/>
        <w:pageBreakBefore w:val="0"/>
        <w:kinsoku/>
        <w:wordWrap/>
        <w:overflowPunct/>
        <w:topLinePunct w:val="0"/>
        <w:bidi w:val="0"/>
        <w:adjustRightInd/>
        <w:spacing w:line="360" w:lineRule="auto"/>
        <w:ind w:right="0" w:rightChars="0" w:firstLine="413" w:firstLineChars="147"/>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（四）、噪声、粉尘、废气等污染防治措施</w:t>
      </w:r>
      <w:bookmarkEnd w:id="20"/>
      <w:bookmarkEnd w:id="21"/>
      <w:bookmarkEnd w:id="22"/>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1、各种临时设施和场地，如堆料场等距居民区不宜小于300m，而且应设于居民区主要风向的下风处。施工开挖现场、施工道路及砼加工系统配备洒水降尘装置，高尘区作业人员需配备个人防尘设施。</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2、使用机械设备的工艺操作，要尽量减少噪声、废气等污染；建筑施工场地的噪声应符合《建筑施工场界噪声限值》(GB 12523-1990)的规定，并应遵守当地有关部门对夜间施工的规定。木工加工机械等高噪声机械需安装降噪设备，高噪声区作业人员需配备个人降噪设施。</w:t>
      </w:r>
    </w:p>
    <w:p>
      <w:pPr>
        <w:keepNext w:val="0"/>
        <w:keepLines w:val="0"/>
        <w:pageBreakBefore w:val="0"/>
        <w:kinsoku/>
        <w:wordWrap/>
        <w:overflowPunct/>
        <w:topLinePunct w:val="0"/>
        <w:bidi w:val="0"/>
        <w:adjustRightInd/>
        <w:spacing w:line="360" w:lineRule="auto"/>
        <w:ind w:right="0" w:righ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3、不得随意燃烧树木及废物，以免污染空气。</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4、如果承包人预防措施不力，并已对邻近区域的环境卫生造成了危害，则由此而引起的一切损失及后果，应有承包人负责。</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5、为了减少施工作业产生的灰尘，在施工区域内应随时进行洒水或其他抑尘措施，使不出现明显的扬尘。</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6、易于引起粉尘的细料或松散料应予遮盖或适当洒水润湿。运碴车辆装车高度不得超过车厢挡板，运输时应用帆布、盖套及类似遮盖物覆盖。以减少运输途中的洒落，并派人进行施工道路清扫、养护。</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7、运转时有粉尘发生的施工场地，如混凝土搅拌机等均应有防尘设备，在这些场所作业的工作人员，应配备必要的劳保防护用品。</w:t>
      </w:r>
    </w:p>
    <w:p>
      <w:pPr>
        <w:keepNext w:val="0"/>
        <w:keepLines w:val="0"/>
        <w:pageBreakBefore w:val="0"/>
        <w:kinsoku/>
        <w:wordWrap/>
        <w:overflowPunct/>
        <w:topLinePunct w:val="0"/>
        <w:bidi w:val="0"/>
        <w:adjustRightInd/>
        <w:spacing w:line="360" w:lineRule="auto"/>
        <w:ind w:right="0" w:rightChars="0" w:firstLine="413" w:firstLineChars="147"/>
        <w:textAlignment w:val="auto"/>
        <w:outlineLvl w:val="9"/>
        <w:rPr>
          <w:rFonts w:hint="eastAsia" w:ascii="宋体" w:hAnsi="宋体" w:eastAsia="宋体" w:cs="宋体"/>
          <w:b/>
          <w:color w:val="auto"/>
          <w:sz w:val="28"/>
          <w:szCs w:val="28"/>
        </w:rPr>
      </w:pPr>
      <w:bookmarkStart w:id="23" w:name="_Toc56319082"/>
      <w:bookmarkStart w:id="24" w:name="_Toc15204"/>
      <w:bookmarkStart w:id="25" w:name="_Toc6811"/>
      <w:r>
        <w:rPr>
          <w:rFonts w:hint="eastAsia" w:ascii="宋体" w:hAnsi="宋体" w:eastAsia="宋体" w:cs="宋体"/>
          <w:b/>
          <w:color w:val="auto"/>
          <w:sz w:val="28"/>
          <w:szCs w:val="28"/>
        </w:rPr>
        <w:t>（五）、施工区的卫生设施以及垃圾的治理措施</w:t>
      </w:r>
      <w:bookmarkEnd w:id="23"/>
      <w:bookmarkEnd w:id="24"/>
      <w:bookmarkEnd w:id="25"/>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施工办公、生活营地垃圾实行袋装化，在施工区修建临时垃圾存放箱，要求职工将垃圾袋装化后存入临时垃圾箱内，并派人每日清理，运至业主监理或当地环保部门指定的垃圾填埋场或垃圾处理站集中处理，保持施工、生活区环境清洁。</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2、在施工现场（施工区内）以及辅助加工场内，修建简易的化学处理厕所，并定期清扫厕所和清除粪便，粪便经设施处理后运至当地卫生主管部门允许的地点排放。</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3、施工人员进场前需进行常规体检，发现传染病患者一律不得进入施工场地；施工单位每年需对施工人员进行体检，注射传染病疫苗。</w:t>
      </w:r>
    </w:p>
    <w:p>
      <w:pPr>
        <w:keepNext w:val="0"/>
        <w:keepLines w:val="0"/>
        <w:pageBreakBefore w:val="0"/>
        <w:kinsoku/>
        <w:wordWrap/>
        <w:overflowPunct/>
        <w:topLinePunct w:val="0"/>
        <w:bidi w:val="0"/>
        <w:adjustRightInd/>
        <w:spacing w:line="360" w:lineRule="auto"/>
        <w:ind w:right="0" w:rightChars="0" w:firstLine="413" w:firstLineChars="147"/>
        <w:textAlignment w:val="auto"/>
        <w:outlineLvl w:val="9"/>
        <w:rPr>
          <w:rFonts w:hint="eastAsia" w:ascii="宋体" w:hAnsi="宋体" w:eastAsia="宋体" w:cs="宋体"/>
          <w:b/>
          <w:color w:val="auto"/>
          <w:sz w:val="28"/>
          <w:szCs w:val="28"/>
        </w:rPr>
      </w:pPr>
      <w:bookmarkStart w:id="26" w:name="_Toc56319085"/>
      <w:bookmarkStart w:id="27" w:name="_Toc29488"/>
      <w:bookmarkStart w:id="28" w:name="_Toc22304"/>
      <w:r>
        <w:rPr>
          <w:rFonts w:hint="eastAsia" w:ascii="宋体" w:hAnsi="宋体" w:eastAsia="宋体" w:cs="宋体"/>
          <w:b/>
          <w:color w:val="auto"/>
          <w:sz w:val="28"/>
          <w:szCs w:val="28"/>
        </w:rPr>
        <w:t>（六）、完工后的场地清理</w:t>
      </w:r>
      <w:bookmarkEnd w:id="26"/>
      <w:bookmarkEnd w:id="27"/>
      <w:bookmarkEnd w:id="28"/>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在本工程完工后按监理要求进行清场。</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（1）将施工现场等地的废弃物及施工垃圾等清理至指定地点进行处理。</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（2）施工临建设施如钢木加工厂、办公用房等按要求日期全部拆除完毕，并配推土机进行临建设施的场地平整。</w:t>
      </w:r>
    </w:p>
    <w:p>
      <w:pPr>
        <w:keepNext w:val="0"/>
        <w:keepLines w:val="0"/>
        <w:pageBreakBefore w:val="0"/>
        <w:kinsoku/>
        <w:wordWrap/>
        <w:overflowPunct/>
        <w:topLinePunct w:val="0"/>
        <w:bidi w:val="0"/>
        <w:adjustRightIn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（3）施工设备及剩余的建筑材料按计划撤出工地，并将废弃的施工设备和材料进行处理并清理出施工现场。</w:t>
      </w:r>
    </w:p>
    <w:p>
      <w:r>
        <w:rPr>
          <w:rFonts w:hint="eastAsia" w:ascii="宋体" w:hAnsi="宋体" w:eastAsia="宋体" w:cs="宋体"/>
          <w:color w:val="auto"/>
          <w:sz w:val="28"/>
          <w:szCs w:val="28"/>
        </w:rPr>
        <w:t>本工程待整体土建、安装工程完工移交证书颁发后，我项目部在规定期限内将施工人员、施工设备全部撤出施工现场，做好环境恢复工作。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31E8C"/>
    <w:multiLevelType w:val="multilevel"/>
    <w:tmpl w:val="69731E8C"/>
    <w:lvl w:ilvl="0" w:tentative="0">
      <w:start w:val="1"/>
      <w:numFmt w:val="chineseCountingThousand"/>
      <w:suff w:val="nothing"/>
      <w:lvlText w:val="第%1章、"/>
      <w:lvlJc w:val="center"/>
      <w:pPr>
        <w:ind w:left="792" w:firstLine="288"/>
      </w:pPr>
      <w:rPr>
        <w:rFonts w:hint="eastAsia"/>
        <w:lang w:val="en-US"/>
      </w:rPr>
    </w:lvl>
    <w:lvl w:ilvl="1" w:tentative="0">
      <w:start w:val="1"/>
      <w:numFmt w:val="chineseCountingThousand"/>
      <w:suff w:val="nothing"/>
      <w:lvlText w:val="第%2节、"/>
      <w:lvlJc w:val="center"/>
      <w:pPr>
        <w:ind w:left="-828" w:firstLine="288"/>
      </w:pPr>
      <w:rPr>
        <w:rFonts w:hint="eastAsia"/>
        <w:lang w:val="en-US"/>
      </w:rPr>
    </w:lvl>
    <w:lvl w:ilvl="2" w:tentative="0">
      <w:start w:val="1"/>
      <w:numFmt w:val="chineseCountingThousand"/>
      <w:suff w:val="nothing"/>
      <w:lvlText w:val="%3、"/>
      <w:lvlJc w:val="left"/>
      <w:pPr>
        <w:ind w:left="-2700" w:firstLine="0"/>
      </w:pPr>
      <w:rPr>
        <w:rFonts w:hint="eastAsia"/>
      </w:rPr>
    </w:lvl>
    <w:lvl w:ilvl="3" w:tentative="0">
      <w:start w:val="1"/>
      <w:numFmt w:val="decimal"/>
      <w:pStyle w:val="2"/>
      <w:suff w:val="nothing"/>
      <w:lvlText w:val="%4、"/>
      <w:lvlJc w:val="left"/>
      <w:pPr>
        <w:ind w:left="-2700" w:firstLine="0"/>
      </w:pPr>
      <w:rPr>
        <w:rFonts w:hint="eastAsia"/>
      </w:rPr>
    </w:lvl>
    <w:lvl w:ilvl="4" w:tentative="0">
      <w:start w:val="1"/>
      <w:numFmt w:val="decimal"/>
      <w:suff w:val="nothing"/>
      <w:lvlText w:val="%4.%5、"/>
      <w:lvlJc w:val="left"/>
      <w:pPr>
        <w:ind w:left="-2700" w:firstLine="0"/>
      </w:pPr>
      <w:rPr>
        <w:rFonts w:hint="eastAsia"/>
      </w:rPr>
    </w:lvl>
    <w:lvl w:ilvl="5" w:tentative="0">
      <w:start w:val="1"/>
      <w:numFmt w:val="decimal"/>
      <w:suff w:val="nothing"/>
      <w:lvlText w:val="%4.%5.%6、"/>
      <w:lvlJc w:val="left"/>
      <w:pPr>
        <w:ind w:left="-2700" w:firstLine="0"/>
      </w:pPr>
      <w:rPr>
        <w:rFonts w:hint="eastAsia"/>
      </w:rPr>
    </w:lvl>
    <w:lvl w:ilvl="6" w:tentative="0">
      <w:start w:val="1"/>
      <w:numFmt w:val="decimal"/>
      <w:suff w:val="nothing"/>
      <w:lvlText w:val="%4.%5.%6.%7、"/>
      <w:lvlJc w:val="left"/>
      <w:pPr>
        <w:ind w:left="-2700" w:firstLine="0"/>
      </w:pPr>
      <w:rPr>
        <w:rFonts w:hint="eastAsia"/>
      </w:rPr>
    </w:lvl>
    <w:lvl w:ilvl="7" w:tentative="0">
      <w:start w:val="1"/>
      <w:numFmt w:val="decimal"/>
      <w:suff w:val="nothing"/>
      <w:lvlText w:val="%4.%5.%6.%7.%8、"/>
      <w:lvlJc w:val="left"/>
      <w:pPr>
        <w:ind w:left="-2700" w:firstLine="0"/>
      </w:pPr>
      <w:rPr>
        <w:rFonts w:hint="eastAsia"/>
      </w:rPr>
    </w:lvl>
    <w:lvl w:ilvl="8" w:tentative="0">
      <w:start w:val="1"/>
      <w:numFmt w:val="decimal"/>
      <w:suff w:val="nothing"/>
      <w:lvlText w:val="%4.%5.%6.%7.%8.%9、"/>
      <w:lvlJc w:val="left"/>
      <w:pPr>
        <w:ind w:left="-27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D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80" w:line="376" w:lineRule="auto"/>
      <w:jc w:val="left"/>
      <w:outlineLvl w:val="3"/>
    </w:pPr>
    <w:rPr>
      <w:rFonts w:ascii="宋体" w:hAnsi="宋体"/>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2024-06-15T07:10:52Z</dcterms:created>
  <dc:creator>Administrator</dc:creator>
  <cp:lastModifiedBy>马赛克。。。</cp:lastModifiedBy>
  <dcterms:modified xsi:type="dcterms:W3CDTF">2024-06-15T07:12:58Z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B1EA27B5E82C40489FABFF7ABD04660B</vt:lpwstr>
  </property>
</Properties>
</file>